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180分钟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（样题7）</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产品中的轴套（附件1装配简图中件1</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对产品的实物关键部位进行测量获取产品重要尺寸信息。利用通用测量工具，手工测量产品中的滑动机构轴套支架（附件1装配简图中件8）与铅笔机基座（附件1装配简图中件2</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）2个零件，根据使用功能和安装要求确定产品零件重要部位的尺寸精度和几何公差。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轴套</w:t>
      </w:r>
      <w:r>
        <w:rPr>
          <w:rFonts w:hint="eastAsia" w:ascii="仿宋_GB2312" w:hAnsi="仿宋_GB2312" w:eastAsia="仿宋_GB2312" w:cs="仿宋_GB2312"/>
          <w:bCs/>
          <w:sz w:val="28"/>
          <w:szCs w:val="28"/>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sz w:val="28"/>
          <w:szCs w:val="28"/>
        </w:rPr>
        <w:t>stp格式。</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sz w:val="28"/>
          <w:szCs w:val="28"/>
        </w:rPr>
        <w:t>以上</w:t>
      </w:r>
      <w:r>
        <w:rPr>
          <w:rFonts w:ascii="仿宋_GB2312" w:hAnsi="仿宋_GB2312" w:eastAsia="仿宋_GB2312" w:cs="仿宋_GB2312"/>
          <w:bCs/>
          <w:sz w:val="28"/>
          <w:szCs w:val="28"/>
        </w:rPr>
        <w:t>2</w:t>
      </w:r>
      <w:r>
        <w:rPr>
          <w:rFonts w:hint="eastAsia" w:ascii="仿宋_GB2312" w:hAnsi="仿宋_GB2312" w:eastAsia="仿宋_GB2312" w:cs="仿宋_GB2312"/>
          <w:bCs/>
          <w:sz w:val="28"/>
          <w:szCs w:val="28"/>
        </w:rPr>
        <w:t>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sz w:val="28"/>
          <w:szCs w:val="28"/>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sz w:val="28"/>
          <w:szCs w:val="28"/>
        </w:rPr>
        <w:t>（</w:t>
      </w:r>
      <w:r>
        <w:rPr>
          <w:rFonts w:ascii="仿宋_GB2312" w:hAnsi="仿宋_GB2312" w:eastAsia="仿宋_GB2312" w:cs="仿宋_GB2312"/>
          <w:b/>
          <w:sz w:val="28"/>
          <w:szCs w:val="28"/>
        </w:rPr>
        <w:t>3</w:t>
      </w:r>
      <w:r>
        <w:rPr>
          <w:rFonts w:hint="eastAsia" w:ascii="仿宋_GB2312" w:hAnsi="仿宋_GB2312" w:eastAsia="仿宋_GB2312" w:cs="仿宋_GB2312"/>
          <w:b/>
          <w:sz w:val="28"/>
          <w:szCs w:val="28"/>
        </w:rPr>
        <w:t>0分）</w:t>
      </w:r>
    </w:p>
    <w:p>
      <w:pPr>
        <w:autoSpaceDE w:val="0"/>
        <w:autoSpaceDN w:val="0"/>
        <w:adjustRightInd w:val="0"/>
        <w:spacing w:line="360" w:lineRule="auto"/>
        <w:ind w:firstLine="560" w:firstLineChars="200"/>
        <w:jc w:val="left"/>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子任务1：为获得比较合理的切削转速，为电机输出端设计一个减速机构，电机转速</w:t>
      </w:r>
      <w:r>
        <w:rPr>
          <w:rFonts w:ascii="仿宋_GB2312" w:hAnsi="仿宋_GB2312" w:eastAsia="仿宋_GB2312" w:cs="仿宋_GB2312"/>
          <w:sz w:val="28"/>
          <w:szCs w:val="28"/>
        </w:rPr>
        <w:t>9000r/min</w:t>
      </w:r>
      <w:r>
        <w:rPr>
          <w:rFonts w:hint="eastAsia" w:ascii="仿宋_GB2312" w:hAnsi="仿宋_GB2312" w:eastAsia="仿宋_GB2312" w:cs="仿宋_GB2312"/>
          <w:sz w:val="28"/>
          <w:szCs w:val="28"/>
        </w:rPr>
        <w:t>，传动比1</w:t>
      </w:r>
      <w:r>
        <w:rPr>
          <w:rFonts w:ascii="仿宋_GB2312" w:hAnsi="仿宋_GB2312" w:eastAsia="仿宋_GB2312" w:cs="仿宋_GB2312"/>
          <w:sz w:val="28"/>
          <w:szCs w:val="28"/>
        </w:rPr>
        <w:t>8</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30</w:t>
      </w:r>
      <w:r>
        <w:rPr>
          <w:rFonts w:hint="eastAsia" w:ascii="仿宋_GB2312" w:hAnsi="仿宋_GB2312" w:eastAsia="仿宋_GB2312" w:cs="仿宋_GB2312"/>
          <w:sz w:val="28"/>
          <w:szCs w:val="28"/>
        </w:rPr>
        <w:t>；为增加滑动机构轴套支架（附件1装配简图中件8）与铅笔机基座（附件1装配简图中件2</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）安装和移动的平稳性，对底座和基座进行优化设计，生成优化后的传动机构以及安装配合体的三维模型。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子任务2：对预紧螺钉（附件1装配简图中件</w:t>
      </w:r>
      <w:r>
        <w:rPr>
          <w:rFonts w:ascii="仿宋_GB2312" w:hAnsi="仿宋_GB2312" w:eastAsia="仿宋_GB2312" w:cs="仿宋_GB2312"/>
          <w:sz w:val="28"/>
          <w:szCs w:val="28"/>
        </w:rPr>
        <w:t>22</w:t>
      </w:r>
      <w:r>
        <w:rPr>
          <w:rFonts w:hint="eastAsia" w:ascii="仿宋_GB2312" w:hAnsi="仿宋_GB2312" w:eastAsia="仿宋_GB2312" w:cs="仿宋_GB2312"/>
          <w:sz w:val="28"/>
          <w:szCs w:val="28"/>
        </w:rPr>
        <w:t>）进行有限元力学分析；将优化后的三维零件重新虚拟装配，完成铅笔机的运动仿真并对产品创新设计进行验证。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（1）传动、安装配合</w:t>
      </w:r>
      <w:r>
        <w:rPr>
          <w:rFonts w:hint="eastAsia" w:ascii="仿宋_GB2312" w:hAnsi="仿宋_GB2312" w:eastAsia="仿宋_GB2312" w:cs="仿宋_GB2312"/>
          <w:sz w:val="28"/>
          <w:szCs w:val="28"/>
        </w:rPr>
        <w:t>机构优化之后使得结构紧凑、美观、合理，并符合加工的可行性、工艺性、经济性等；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对预紧螺钉选择合适的材料、分析受力情况、设置合理的边界和约束条件，进行有限元分析，生成应力云图。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3</w:t>
      </w:r>
      <w:r>
        <w:rPr>
          <w:rFonts w:hint="eastAsia" w:ascii="仿宋_GB2312" w:hAnsi="仿宋_GB2312" w:eastAsia="仿宋_GB2312" w:cs="仿宋_GB2312"/>
          <w:kern w:val="0"/>
          <w:sz w:val="28"/>
          <w:szCs w:val="28"/>
        </w:rPr>
        <w:t>）</w:t>
      </w:r>
      <w:r>
        <w:rPr>
          <w:rFonts w:hint="eastAsia" w:ascii="仿宋_GB2312" w:hAnsi="仿宋_GB2312" w:eastAsia="仿宋_GB2312" w:cs="仿宋_GB2312"/>
          <w:sz w:val="28"/>
          <w:szCs w:val="28"/>
        </w:rPr>
        <w:t>根据该铅笔机的工作原理对整个装配体进行虚拟运动仿真，展示铅笔机的工作过程，机构运行情况，并导出产品360°旋转展示动画，时长10-15秒。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（1）传动、安装配合机构</w:t>
      </w:r>
      <w:r>
        <w:rPr>
          <w:rFonts w:hint="eastAsia" w:ascii="仿宋_GB2312" w:hAnsi="仿宋_GB2312" w:eastAsia="仿宋_GB2312" w:cs="仿宋_GB2312"/>
          <w:sz w:val="28"/>
          <w:szCs w:val="28"/>
        </w:rPr>
        <w:t>（优化后的三维模型）</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（2）铅笔机的</w:t>
      </w:r>
      <w:r>
        <w:rPr>
          <w:rFonts w:hint="eastAsia" w:ascii="仿宋_GB2312" w:hAnsi="仿宋_GB2312" w:eastAsia="仿宋_GB2312" w:cs="仿宋_GB2312"/>
          <w:kern w:val="0"/>
          <w:sz w:val="28"/>
          <w:szCs w:val="28"/>
          <w:lang w:bidi="th-TH"/>
        </w:rPr>
        <w:t>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（3）预紧螺钉的</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w:t>
      </w:r>
      <w:r>
        <w:rPr>
          <w:rFonts w:ascii="仿宋_GB2312" w:hAnsi="仿宋_GB2312" w:eastAsia="仿宋_GB2312" w:cs="仿宋_GB2312"/>
          <w:b/>
          <w:bCs/>
          <w:spacing w:val="0"/>
          <w:sz w:val="28"/>
          <w:szCs w:val="28"/>
        </w:rPr>
        <w:t>2</w:t>
      </w:r>
      <w:r>
        <w:rPr>
          <w:rFonts w:hint="eastAsia" w:ascii="仿宋_GB2312" w:hAnsi="仿宋_GB2312" w:eastAsia="仿宋_GB2312" w:cs="仿宋_GB2312"/>
          <w:b/>
          <w:bCs/>
          <w:spacing w:val="0"/>
          <w:sz w:val="28"/>
          <w:szCs w:val="28"/>
        </w:rPr>
        <w:t>0分）</w:t>
      </w:r>
    </w:p>
    <w:p>
      <w:pPr>
        <w:autoSpaceDE w:val="0"/>
        <w:autoSpaceDN w:val="0"/>
        <w:adjustRightInd w:val="0"/>
        <w:spacing w:line="360" w:lineRule="auto"/>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情境描述：请你以机械设计工程人员的角色，根据任务二生成的产品三维模型，完成以下2项子任务：</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子任务1：生成产品的爆炸图，绘制产品装配图及传动、安装配合机构的二</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维工程图。</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运动仿真包含铅笔机的整个运动过程。</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pStyle w:val="15"/>
        <w:spacing w:line="360" w:lineRule="auto"/>
        <w:ind w:firstLine="560"/>
        <w:jc w:val="both"/>
        <w:rPr>
          <w:rFonts w:hint="eastAsia" w:ascii="仿宋_GB2312" w:hAnsi="仿宋_GB2312" w:eastAsia="仿宋_GB2312" w:cs="仿宋_GB2312"/>
          <w:kern w:val="0"/>
          <w:sz w:val="28"/>
        </w:rPr>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（3）传动</w:t>
      </w:r>
      <w:r>
        <w:rPr>
          <w:rFonts w:hint="eastAsia" w:ascii="仿宋_GB2312" w:hAnsi="仿宋_GB2312" w:eastAsia="仿宋_GB2312" w:cs="仿宋_GB2312"/>
          <w:sz w:val="28"/>
          <w:szCs w:val="28"/>
        </w:rPr>
        <w:t>、安装配合机构（创新设计后）的相关零件的二维工程图源文件格式和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val="0"/>
          <w:sz w:val="28"/>
        </w:rPr>
        <w:t>“</w:t>
      </w:r>
      <w:r>
        <w:rPr>
          <w:rFonts w:ascii="仿宋_GB2312" w:hAnsi="仿宋_GB2312" w:eastAsia="仿宋_GB2312" w:cs="仿宋_GB2312"/>
          <w:b w:val="0"/>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ins w:id="0" w:author="Administrator" w:date="2023-04-18T10:23:25Z"/>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ins w:id="1" w:author="Administrator" w:date="2023-04-18T10:23:25Z"/>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bookmarkStart w:id="0" w:name="_GoBack"/>
      <w:bookmarkEnd w:id="0"/>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firstLine="562" w:firstLineChars="200"/>
        <w:jc w:val="both"/>
        <w:rPr>
          <w:rFonts w:ascii="Calibri" w:hAnsi="Calibri" w:eastAsiaTheme="minorEastAsia"/>
          <w:color w:val="C00000"/>
          <w:szCs w:val="24"/>
        </w:rPr>
      </w:pPr>
      <w:r>
        <w:rPr>
          <w:rFonts w:hint="eastAsia" w:ascii="仿宋_GB2312" w:hAnsi="仿宋_GB2312" w:eastAsia="仿宋_GB2312" w:cs="仿宋_GB2312"/>
          <w:b/>
          <w:color w:val="C00000"/>
          <w:sz w:val="28"/>
          <w:szCs w:val="28"/>
        </w:rPr>
        <w:t>（样题仅作示例，具体参见正式竞赛任务书）</w:t>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r>
        <w:rPr>
          <w:rFonts w:ascii="宋体" w:hAnsi="宋体" w:cs="宋体"/>
          <w:kern w:val="0"/>
          <w:sz w:val="24"/>
        </w:rPr>
        <w:drawing>
          <wp:inline distT="0" distB="0" distL="0" distR="0">
            <wp:extent cx="6000115" cy="4359275"/>
            <wp:effectExtent l="0" t="0" r="635" b="3175"/>
            <wp:docPr id="1" name="图片 1" descr="C:\Users\WANGJUN\AppData\Roaming\Tencent\Users\179341475\QQ\WinTemp\RichOle\WRQ2KWC3R}YO[14__4P`F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ANGJUN\AppData\Roaming\Tencent\Users\179341475\QQ\WinTemp\RichOle\WRQ2KWC3R}YO[14__4P`FBC.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010640" cy="4367183"/>
                    </a:xfrm>
                    <a:prstGeom prst="rect">
                      <a:avLst/>
                    </a:prstGeom>
                    <a:noFill/>
                    <a:ln>
                      <a:noFill/>
                    </a:ln>
                  </pic:spPr>
                </pic:pic>
              </a:graphicData>
            </a:graphic>
          </wp:inline>
        </w:drawing>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w:t>
      </w:r>
      <w:r>
        <w:rPr>
          <w:rFonts w:ascii="仿宋_GB2312" w:hAnsi="仿宋_GB2312" w:eastAsia="仿宋_GB2312" w:cs="仿宋_GB2312"/>
          <w:b/>
          <w:color w:val="000000" w:themeColor="text1"/>
          <w:sz w:val="28"/>
          <w:szCs w:val="28"/>
          <w14:textFill>
            <w14:solidFill>
              <w14:schemeClr w14:val="tx1"/>
            </w14:solidFill>
          </w14:textFill>
        </w:rPr>
        <w:t xml:space="preserve"> </w:t>
      </w:r>
      <w:r>
        <w:rPr>
          <w:rFonts w:hint="eastAsia" w:ascii="仿宋_GB2312" w:hAnsi="仿宋_GB2312" w:eastAsia="仿宋_GB2312" w:cs="仿宋_GB2312"/>
          <w:b/>
          <w:color w:val="000000" w:themeColor="text1"/>
          <w:sz w:val="28"/>
          <w:szCs w:val="28"/>
          <w14:textFill>
            <w14:solidFill>
              <w14:schemeClr w14:val="tx1"/>
            </w14:solidFill>
          </w14:textFill>
        </w:rPr>
        <w:t xml:space="preserve">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请选手根据结构机构运动的工况，在工作状态下预紧螺钉的有限元分析，并完成下表的填空。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
          </w:tcPr>
          <w:p>
            <w:pPr>
              <w:pStyle w:val="2"/>
              <w:ind w:left="0" w:firstLine="0"/>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p>
            <w:pPr>
              <w:rPr>
                <w:rFonts w:cs="Calibri"/>
              </w:rPr>
            </w:pPr>
          </w:p>
          <w:p>
            <w:pPr>
              <w:pStyle w:val="2"/>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步骤</w:t>
            </w:r>
          </w:p>
        </w:tc>
        <w:tc>
          <w:tcPr>
            <w:tcW w:w="693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vAlign w:val="center"/>
          </w:tcPr>
          <w:p>
            <w:pPr>
              <w:pStyle w:val="2"/>
              <w:ind w:left="0" w:firstLine="0"/>
              <w:rPr>
                <w:rFonts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仿宋_GB2312" w:hAnsi="仿宋_GB2312" w:eastAsia="仿宋_GB2312" w:cs="仿宋_GB2312"/>
          <w:b/>
          <w:sz w:val="24"/>
        </w:rPr>
      </w:pPr>
      <w:r>
        <w:rPr>
          <w:rFonts w:hint="eastAsia" w:ascii="仿宋_GB2312" w:hAnsi="仿宋_GB2312" w:eastAsia="仿宋_GB2312" w:cs="仿宋_GB2312"/>
          <w:b/>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仿宋" w:eastAsia="仿宋"/>
                <w:sz w:val="24"/>
              </w:rPr>
            </w:pPr>
            <w:r>
              <w:rPr>
                <w:rFonts w:hint="eastAsia" w:ascii="仿宋" w:eastAsia="仿宋"/>
                <w:sz w:val="24"/>
              </w:rPr>
              <w:t>序号</w:t>
            </w:r>
          </w:p>
        </w:tc>
        <w:tc>
          <w:tcPr>
            <w:tcW w:w="1702" w:type="dxa"/>
            <w:vAlign w:val="center"/>
          </w:tcPr>
          <w:p>
            <w:pPr>
              <w:pStyle w:val="22"/>
              <w:spacing w:before="105"/>
              <w:ind w:left="361" w:right="330"/>
              <w:rPr>
                <w:rFonts w:ascii="仿宋" w:eastAsia="仿宋"/>
                <w:sz w:val="24"/>
              </w:rPr>
            </w:pPr>
            <w:r>
              <w:rPr>
                <w:rFonts w:hint="eastAsia" w:ascii="仿宋" w:eastAsia="仿宋"/>
                <w:sz w:val="24"/>
              </w:rPr>
              <w:t>项目</w:t>
            </w:r>
          </w:p>
        </w:tc>
        <w:tc>
          <w:tcPr>
            <w:tcW w:w="6512" w:type="dxa"/>
            <w:gridSpan w:val="3"/>
            <w:vAlign w:val="center"/>
          </w:tcPr>
          <w:p>
            <w:pPr>
              <w:pStyle w:val="22"/>
              <w:spacing w:before="105"/>
              <w:ind w:left="2515" w:right="2507"/>
              <w:rPr>
                <w:rFonts w:ascii="仿宋" w:eastAsia="仿宋"/>
                <w:sz w:val="24"/>
              </w:rPr>
            </w:pPr>
            <w:r>
              <w:rPr>
                <w:rFonts w:hint="eastAsia" w:ascii="仿宋" w:eastAsia="仿宋"/>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传动机构</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 xml:space="preserve">安装配合体 </w:t>
            </w:r>
          </w:p>
        </w:tc>
        <w:tc>
          <w:tcPr>
            <w:tcW w:w="2214" w:type="dxa"/>
            <w:tcBorders>
              <w:left w:val="single" w:color="auto" w:sz="4" w:space="0"/>
            </w:tcBorders>
            <w:vAlign w:val="center"/>
          </w:tcPr>
          <w:p>
            <w:pPr>
              <w:pStyle w:val="22"/>
              <w:spacing w:before="129"/>
              <w:rPr>
                <w:rFonts w:ascii="仿宋" w:eastAsia="仿宋"/>
                <w:sz w:val="24"/>
              </w:rPr>
            </w:pPr>
            <w:r>
              <w:rPr>
                <w:rFonts w:hint="eastAsia" w:ascii="仿宋" w:eastAsia="仿宋"/>
                <w:sz w:val="24"/>
              </w:rPr>
              <w:t>装配图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ascii="仿宋"/>
                <w:sz w:val="24"/>
              </w:rPr>
              <w:t>QBJ-**</w:t>
            </w:r>
          </w:p>
        </w:tc>
        <w:tc>
          <w:tcPr>
            <w:tcW w:w="2126" w:type="dxa"/>
            <w:tcBorders>
              <w:right w:val="single" w:color="auto" w:sz="4" w:space="0"/>
            </w:tcBorders>
            <w:vAlign w:val="center"/>
          </w:tcPr>
          <w:p>
            <w:pPr>
              <w:pStyle w:val="22"/>
              <w:spacing w:before="148"/>
              <w:rPr>
                <w:rFonts w:ascii="仿宋"/>
                <w:sz w:val="24"/>
              </w:rPr>
            </w:pPr>
            <w:r>
              <w:rPr>
                <w:rFonts w:ascii="仿宋"/>
                <w:sz w:val="24"/>
              </w:rPr>
              <w:t>QBJ-**</w:t>
            </w:r>
          </w:p>
        </w:tc>
        <w:tc>
          <w:tcPr>
            <w:tcW w:w="2214" w:type="dxa"/>
            <w:tcBorders>
              <w:left w:val="single" w:color="auto" w:sz="4" w:space="0"/>
            </w:tcBorders>
            <w:vAlign w:val="center"/>
          </w:tcPr>
          <w:p>
            <w:pPr>
              <w:pStyle w:val="22"/>
              <w:spacing w:before="148"/>
              <w:rPr>
                <w:rFonts w:ascii="仿宋"/>
                <w:sz w:val="24"/>
              </w:rPr>
            </w:pPr>
            <w:r>
              <w:rPr>
                <w:rFonts w:hint="eastAsia" w:ascii="仿宋"/>
                <w:sz w:val="24"/>
              </w:rPr>
              <w:t>M</w:t>
            </w:r>
            <w:r>
              <w:rPr>
                <w:rFonts w:ascii="仿宋"/>
                <w:sz w:val="24"/>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pStyle w:val="2"/>
        <w:rPr>
          <w:rFonts w:eastAsiaTheme="minorEastAsia"/>
        </w:rPr>
      </w:pPr>
    </w:p>
    <w:p>
      <w:pPr>
        <w:rPr>
          <w:rFonts w:hint="eastAsia" w:ascii="Calibri" w:hAnsi="Calibri" w:eastAsia="宋体"/>
          <w:b w:val="0"/>
          <w:color w:val="auto"/>
          <w:sz w:val="21"/>
          <w:szCs w:val="24"/>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w:t>
      </w:r>
      <w:r>
        <w:rPr>
          <w:rFonts w:hint="eastAsia" w:ascii="仿宋_GB2312" w:eastAsia="仿宋_GB2312" w:hAnsiTheme="minorEastAsia"/>
          <w:sz w:val="28"/>
          <w:szCs w:val="28"/>
        </w:rPr>
        <w:t>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w:t>
      </w:r>
      <w:r>
        <w:rPr>
          <w:rFonts w:ascii="仿宋_GB2312" w:eastAsia="仿宋_GB2312" w:hAnsiTheme="minorEastAsia"/>
          <w:sz w:val="28"/>
          <w:szCs w:val="28"/>
        </w:rPr>
        <w:t>.</w:t>
      </w:r>
      <w:r>
        <w:rPr>
          <w:rFonts w:hint="eastAsia" w:ascii="仿宋_GB2312" w:eastAsia="仿宋_GB2312" w:hAnsiTheme="minorEastAsia"/>
          <w:sz w:val="28"/>
          <w:szCs w:val="28"/>
        </w:rPr>
        <w:t>结合装配运动仿真，展示创新设计后的铅笔机；</w:t>
      </w:r>
    </w:p>
    <w:p>
      <w:pPr>
        <w:spacing w:line="360" w:lineRule="auto"/>
        <w:ind w:firstLine="560" w:firstLineChars="200"/>
        <w:rPr>
          <w:rFonts w:ascii="仿宋_GB2312" w:eastAsia="仿宋_GB2312" w:hAnsiTheme="minorEastAsia"/>
          <w:sz w:val="28"/>
          <w:szCs w:val="28"/>
        </w:rPr>
      </w:pPr>
      <w:r>
        <w:rPr>
          <w:rFonts w:ascii="仿宋_GB2312" w:eastAsia="仿宋_GB2312" w:hAnsiTheme="minorEastAsia"/>
          <w:sz w:val="28"/>
          <w:szCs w:val="28"/>
        </w:rPr>
        <w:t>4.</w:t>
      </w:r>
      <w:r>
        <w:rPr>
          <w:rFonts w:hint="eastAsia" w:ascii="仿宋_GB2312" w:eastAsia="仿宋_GB2312" w:hAnsiTheme="minorEastAsia"/>
          <w:sz w:val="28"/>
          <w:szCs w:val="28"/>
        </w:rPr>
        <w:t>结合附件2有限元力学分析结果，如有改进需要，进一步说明改进方案。</w:t>
      </w: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
      <w:pPr>
        <w:rPr>
          <w:rFonts w:ascii="仿宋" w:hAnsi="仿宋" w:eastAsia="仿宋"/>
          <w:b/>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r>
        <w:rPr>
          <w:rFonts w:ascii="仿宋" w:hAnsi="仿宋" w:eastAsia="仿宋" w:cs="仿宋_GB2312"/>
          <w:b/>
          <w:bCs/>
          <w:color w:val="000000" w:themeColor="text1"/>
          <w:sz w:val="24"/>
          <w:szCs w:val="30"/>
          <w14:textFill>
            <w14:solidFill>
              <w14:schemeClr w14:val="tx1"/>
            </w14:solidFill>
          </w14:textFill>
        </w:rPr>
        <w:br w:type="page"/>
      </w:r>
    </w:p>
    <w:p>
      <w:pPr>
        <w:pStyle w:val="2"/>
        <w:sectPr>
          <w:footerReference r:id="rId3" w:type="default"/>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margin" w:tblpY="2265"/>
        <w:tblOverlap w:val="never"/>
        <w:tblW w:w="15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1" w:type="dxa"/>
            <w:vAlign w:val="center"/>
          </w:tcPr>
          <w:p>
            <w:pPr>
              <w:rPr>
                <w:rFonts w:ascii="仿宋_GB2312" w:hAnsi="仿宋_GB2312" w:eastAsia="仿宋_GB2312" w:cs="仿宋_GB2312"/>
                <w:sz w:val="24"/>
              </w:rPr>
            </w:pPr>
            <w:r>
              <w:rPr>
                <w:rFonts w:hint="eastAsia" w:ascii="仿宋_GB2312" w:hAnsi="仿宋_GB2312" w:eastAsia="仿宋_GB2312" w:cs="仿宋_GB2312"/>
                <w:b/>
                <w:bCs/>
                <w:sz w:val="28"/>
                <w:szCs w:val="28"/>
              </w:rPr>
              <w:br w:type="page"/>
            </w:r>
            <w:r>
              <w:rPr>
                <w:rFonts w:hint="eastAsia" w:ascii="仿宋_GB2312" w:hAnsi="仿宋_GB2312" w:eastAsia="仿宋_GB2312" w:cs="仿宋_GB2312"/>
                <w:b/>
                <w:bCs/>
                <w:sz w:val="24"/>
              </w:rPr>
              <w:t>序号</w:t>
            </w:r>
          </w:p>
        </w:tc>
        <w:tc>
          <w:tcPr>
            <w:tcW w:w="2957"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w:t>
            </w:r>
          </w:p>
        </w:tc>
        <w:tc>
          <w:tcPr>
            <w:tcW w:w="300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倒扣分</w:t>
            </w:r>
          </w:p>
        </w:tc>
        <w:tc>
          <w:tcPr>
            <w:tcW w:w="913"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选手编号</w:t>
            </w:r>
          </w:p>
        </w:tc>
        <w:tc>
          <w:tcPr>
            <w:tcW w:w="152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扣分原因</w:t>
            </w:r>
          </w:p>
        </w:tc>
        <w:tc>
          <w:tcPr>
            <w:tcW w:w="106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扣分值</w:t>
            </w:r>
          </w:p>
        </w:tc>
        <w:tc>
          <w:tcPr>
            <w:tcW w:w="2573"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选手签字</w:t>
            </w:r>
          </w:p>
        </w:tc>
        <w:tc>
          <w:tcPr>
            <w:tcW w:w="2471" w:type="dxa"/>
            <w:vAlign w:val="center"/>
          </w:tcPr>
          <w:p>
            <w:pPr>
              <w:pStyle w:val="5"/>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WPS Office" w15:userId="1952008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0240C"/>
    <w:rsid w:val="00022A4E"/>
    <w:rsid w:val="00031AA3"/>
    <w:rsid w:val="000412EA"/>
    <w:rsid w:val="00041357"/>
    <w:rsid w:val="000422E1"/>
    <w:rsid w:val="00057F95"/>
    <w:rsid w:val="0007348D"/>
    <w:rsid w:val="000935A9"/>
    <w:rsid w:val="000967BF"/>
    <w:rsid w:val="0009736E"/>
    <w:rsid w:val="000B5170"/>
    <w:rsid w:val="00114840"/>
    <w:rsid w:val="0012533A"/>
    <w:rsid w:val="00134BC1"/>
    <w:rsid w:val="00152EDE"/>
    <w:rsid w:val="0016018D"/>
    <w:rsid w:val="001839A6"/>
    <w:rsid w:val="001938FF"/>
    <w:rsid w:val="00195F7F"/>
    <w:rsid w:val="001B6031"/>
    <w:rsid w:val="002043CE"/>
    <w:rsid w:val="00240F5F"/>
    <w:rsid w:val="00244BF0"/>
    <w:rsid w:val="0025592E"/>
    <w:rsid w:val="00261A73"/>
    <w:rsid w:val="0026312F"/>
    <w:rsid w:val="00266623"/>
    <w:rsid w:val="00280851"/>
    <w:rsid w:val="00283A2D"/>
    <w:rsid w:val="00293328"/>
    <w:rsid w:val="00297DCE"/>
    <w:rsid w:val="002A6594"/>
    <w:rsid w:val="002B1CE0"/>
    <w:rsid w:val="002C5F75"/>
    <w:rsid w:val="002D498C"/>
    <w:rsid w:val="003262AA"/>
    <w:rsid w:val="00364A83"/>
    <w:rsid w:val="003A005A"/>
    <w:rsid w:val="003D548B"/>
    <w:rsid w:val="003F38C7"/>
    <w:rsid w:val="00412A30"/>
    <w:rsid w:val="00413C90"/>
    <w:rsid w:val="00427A54"/>
    <w:rsid w:val="00427D2F"/>
    <w:rsid w:val="00443979"/>
    <w:rsid w:val="0047606C"/>
    <w:rsid w:val="00494848"/>
    <w:rsid w:val="004954A3"/>
    <w:rsid w:val="004E45A2"/>
    <w:rsid w:val="004F3A42"/>
    <w:rsid w:val="0051513F"/>
    <w:rsid w:val="00542721"/>
    <w:rsid w:val="0054412B"/>
    <w:rsid w:val="00550222"/>
    <w:rsid w:val="00567BF0"/>
    <w:rsid w:val="005861BC"/>
    <w:rsid w:val="005A2545"/>
    <w:rsid w:val="005B3D81"/>
    <w:rsid w:val="005D3C87"/>
    <w:rsid w:val="005D75A0"/>
    <w:rsid w:val="00607722"/>
    <w:rsid w:val="0063199B"/>
    <w:rsid w:val="00644FA4"/>
    <w:rsid w:val="00652960"/>
    <w:rsid w:val="00672110"/>
    <w:rsid w:val="0068736B"/>
    <w:rsid w:val="006A3608"/>
    <w:rsid w:val="006B336C"/>
    <w:rsid w:val="006C3F34"/>
    <w:rsid w:val="006C754D"/>
    <w:rsid w:val="006F7CAC"/>
    <w:rsid w:val="007027AA"/>
    <w:rsid w:val="007173B8"/>
    <w:rsid w:val="007259F4"/>
    <w:rsid w:val="007344A6"/>
    <w:rsid w:val="007572BB"/>
    <w:rsid w:val="00757EE4"/>
    <w:rsid w:val="00763941"/>
    <w:rsid w:val="007704C7"/>
    <w:rsid w:val="0077514A"/>
    <w:rsid w:val="007C1644"/>
    <w:rsid w:val="007C2F23"/>
    <w:rsid w:val="007C4B87"/>
    <w:rsid w:val="007D2F29"/>
    <w:rsid w:val="007E12DC"/>
    <w:rsid w:val="007F01EC"/>
    <w:rsid w:val="00815DCE"/>
    <w:rsid w:val="0082479C"/>
    <w:rsid w:val="00831AA2"/>
    <w:rsid w:val="008364C0"/>
    <w:rsid w:val="00844E52"/>
    <w:rsid w:val="008507F7"/>
    <w:rsid w:val="0086068F"/>
    <w:rsid w:val="0089363A"/>
    <w:rsid w:val="008B3ED3"/>
    <w:rsid w:val="008B5098"/>
    <w:rsid w:val="008B5336"/>
    <w:rsid w:val="008C4168"/>
    <w:rsid w:val="008D2B84"/>
    <w:rsid w:val="008E2FA0"/>
    <w:rsid w:val="008E6A5D"/>
    <w:rsid w:val="00901F5F"/>
    <w:rsid w:val="009113F9"/>
    <w:rsid w:val="0091542A"/>
    <w:rsid w:val="009311A3"/>
    <w:rsid w:val="00936276"/>
    <w:rsid w:val="00942A98"/>
    <w:rsid w:val="00950616"/>
    <w:rsid w:val="009516DC"/>
    <w:rsid w:val="00954377"/>
    <w:rsid w:val="0096061F"/>
    <w:rsid w:val="009623F1"/>
    <w:rsid w:val="009805EE"/>
    <w:rsid w:val="009921DE"/>
    <w:rsid w:val="009A23D2"/>
    <w:rsid w:val="009A3623"/>
    <w:rsid w:val="009B520F"/>
    <w:rsid w:val="009B56F3"/>
    <w:rsid w:val="009B5AF5"/>
    <w:rsid w:val="009F5569"/>
    <w:rsid w:val="00A1039D"/>
    <w:rsid w:val="00A26E45"/>
    <w:rsid w:val="00A40AD5"/>
    <w:rsid w:val="00AA0045"/>
    <w:rsid w:val="00AA3C03"/>
    <w:rsid w:val="00AB1D77"/>
    <w:rsid w:val="00AB3F2B"/>
    <w:rsid w:val="00AB5A45"/>
    <w:rsid w:val="00AD0D70"/>
    <w:rsid w:val="00AE78E4"/>
    <w:rsid w:val="00AF5044"/>
    <w:rsid w:val="00AF5EC4"/>
    <w:rsid w:val="00B008F0"/>
    <w:rsid w:val="00B069BC"/>
    <w:rsid w:val="00B1378E"/>
    <w:rsid w:val="00B200C9"/>
    <w:rsid w:val="00B46985"/>
    <w:rsid w:val="00B7212D"/>
    <w:rsid w:val="00B72DE7"/>
    <w:rsid w:val="00BA255E"/>
    <w:rsid w:val="00BC782E"/>
    <w:rsid w:val="00BE59B1"/>
    <w:rsid w:val="00C23566"/>
    <w:rsid w:val="00C307A5"/>
    <w:rsid w:val="00C32AEF"/>
    <w:rsid w:val="00C34449"/>
    <w:rsid w:val="00C71EFC"/>
    <w:rsid w:val="00C906F4"/>
    <w:rsid w:val="00CA1BCC"/>
    <w:rsid w:val="00CC1030"/>
    <w:rsid w:val="00CC1FB3"/>
    <w:rsid w:val="00CF0F7C"/>
    <w:rsid w:val="00CF2623"/>
    <w:rsid w:val="00D045F2"/>
    <w:rsid w:val="00D11F58"/>
    <w:rsid w:val="00D35450"/>
    <w:rsid w:val="00D52112"/>
    <w:rsid w:val="00D86AB0"/>
    <w:rsid w:val="00D9128A"/>
    <w:rsid w:val="00DF633C"/>
    <w:rsid w:val="00E36F28"/>
    <w:rsid w:val="00E409BE"/>
    <w:rsid w:val="00E41B44"/>
    <w:rsid w:val="00E548C4"/>
    <w:rsid w:val="00E7038C"/>
    <w:rsid w:val="00E809AE"/>
    <w:rsid w:val="00EA4E02"/>
    <w:rsid w:val="00ED6C50"/>
    <w:rsid w:val="00F10CF0"/>
    <w:rsid w:val="00F13DA9"/>
    <w:rsid w:val="00F451CF"/>
    <w:rsid w:val="00F46394"/>
    <w:rsid w:val="00F46CE9"/>
    <w:rsid w:val="00F504E0"/>
    <w:rsid w:val="00F603C2"/>
    <w:rsid w:val="00FC2E4E"/>
    <w:rsid w:val="00FC40BB"/>
    <w:rsid w:val="00FC462E"/>
    <w:rsid w:val="00FC4E45"/>
    <w:rsid w:val="00FE33F2"/>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F996FAD"/>
    <w:rsid w:val="1FD91AA0"/>
    <w:rsid w:val="23CD36CA"/>
    <w:rsid w:val="245A2A83"/>
    <w:rsid w:val="281515BB"/>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6F154C9"/>
    <w:rsid w:val="37222D9D"/>
    <w:rsid w:val="37A278A0"/>
    <w:rsid w:val="38437802"/>
    <w:rsid w:val="38D44DA9"/>
    <w:rsid w:val="3C6109FB"/>
    <w:rsid w:val="3E0930F8"/>
    <w:rsid w:val="3E1D4DF6"/>
    <w:rsid w:val="3F436335"/>
    <w:rsid w:val="3F655964"/>
    <w:rsid w:val="3FB35A12"/>
    <w:rsid w:val="405A5E8D"/>
    <w:rsid w:val="41202C33"/>
    <w:rsid w:val="414546A9"/>
    <w:rsid w:val="417E5BAB"/>
    <w:rsid w:val="419E624E"/>
    <w:rsid w:val="41DB1250"/>
    <w:rsid w:val="42E92291"/>
    <w:rsid w:val="430D368B"/>
    <w:rsid w:val="43AC6A00"/>
    <w:rsid w:val="43CF6B92"/>
    <w:rsid w:val="43D67F21"/>
    <w:rsid w:val="46080139"/>
    <w:rsid w:val="471B69CF"/>
    <w:rsid w:val="47541888"/>
    <w:rsid w:val="47596E9F"/>
    <w:rsid w:val="48B14AB8"/>
    <w:rsid w:val="48DF33D4"/>
    <w:rsid w:val="48EB621C"/>
    <w:rsid w:val="4A471230"/>
    <w:rsid w:val="4A525E27"/>
    <w:rsid w:val="4A800BE6"/>
    <w:rsid w:val="4B4614E8"/>
    <w:rsid w:val="4C6373D9"/>
    <w:rsid w:val="4C8F6EBF"/>
    <w:rsid w:val="4CB966A8"/>
    <w:rsid w:val="4E2B69F5"/>
    <w:rsid w:val="4E593C28"/>
    <w:rsid w:val="50553DF9"/>
    <w:rsid w:val="50E35A2B"/>
    <w:rsid w:val="527714DF"/>
    <w:rsid w:val="52E15E28"/>
    <w:rsid w:val="545304B1"/>
    <w:rsid w:val="547D43F4"/>
    <w:rsid w:val="54907EC0"/>
    <w:rsid w:val="55EE2EA8"/>
    <w:rsid w:val="5A3410A5"/>
    <w:rsid w:val="5AF32C10"/>
    <w:rsid w:val="5C00393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F405FB2"/>
    <w:rsid w:val="700F2694"/>
    <w:rsid w:val="70B5039E"/>
    <w:rsid w:val="70F74EAF"/>
    <w:rsid w:val="71152CAD"/>
    <w:rsid w:val="71283FD7"/>
    <w:rsid w:val="72084E9A"/>
    <w:rsid w:val="721D7B76"/>
    <w:rsid w:val="73A3131E"/>
    <w:rsid w:val="74286545"/>
    <w:rsid w:val="747F58E7"/>
    <w:rsid w:val="74B310ED"/>
    <w:rsid w:val="75A56DB5"/>
    <w:rsid w:val="764A5A81"/>
    <w:rsid w:val="7691545E"/>
    <w:rsid w:val="770863A3"/>
    <w:rsid w:val="7791148D"/>
    <w:rsid w:val="787A35EC"/>
    <w:rsid w:val="79A4194C"/>
    <w:rsid w:val="7A8A6D94"/>
    <w:rsid w:val="7B430CF1"/>
    <w:rsid w:val="7C725D31"/>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2819</Words>
  <Characters>2993</Characters>
  <Lines>23</Lines>
  <Paragraphs>6</Paragraphs>
  <TotalTime>103</TotalTime>
  <ScaleCrop>false</ScaleCrop>
  <LinksUpToDate>false</LinksUpToDate>
  <CharactersWithSpaces>3012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2023-04-15T08:21:00Z</dcterms:created>
  <dc:creator>20009</dc:creator>
  <cp:lastModifiedBy>Administrator</cp:lastModifiedBy>
  <cp:lastPrinted>2021-03-15T20:41:00Z</cp:lastPrinted>
  <dcterms:modified xsi:type="dcterms:W3CDTF">2023-04-18T02:23:34Z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